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F509" w14:textId="77777777" w:rsidR="00645301" w:rsidRDefault="009B7E4B">
      <w:pPr>
        <w:spacing w:before="2" w:after="825"/>
        <w:ind w:left="4133" w:right="5017"/>
        <w:textAlignment w:val="baseline"/>
      </w:pPr>
      <w:r>
        <w:rPr>
          <w:noProof/>
        </w:rPr>
        <w:drawing>
          <wp:inline distT="0" distB="0" distL="0" distR="0" wp14:anchorId="381C6820" wp14:editId="34D37123">
            <wp:extent cx="575945" cy="5765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575945" cy="576580"/>
                    </a:xfrm>
                    <a:prstGeom prst="rect">
                      <a:avLst/>
                    </a:prstGeom>
                  </pic:spPr>
                </pic:pic>
              </a:graphicData>
            </a:graphic>
          </wp:inline>
        </w:drawing>
      </w:r>
    </w:p>
    <w:p w14:paraId="02C90535" w14:textId="77777777" w:rsidR="00645301" w:rsidRDefault="009B7E4B">
      <w:pPr>
        <w:spacing w:after="180" w:line="197" w:lineRule="exact"/>
        <w:ind w:left="7195" w:right="1158"/>
        <w:textAlignment w:val="baseline"/>
      </w:pPr>
      <w:r>
        <w:rPr>
          <w:noProof/>
        </w:rPr>
        <w:drawing>
          <wp:anchor distT="0" distB="0" distL="114300" distR="114300" simplePos="0" relativeHeight="251658240" behindDoc="0" locked="0" layoutInCell="1" allowOverlap="1" wp14:anchorId="2EA81991" wp14:editId="0B5B8D81">
            <wp:simplePos x="0" y="0"/>
            <wp:positionH relativeFrom="column">
              <wp:posOffset>4568644</wp:posOffset>
            </wp:positionH>
            <wp:positionV relativeFrom="paragraph">
              <wp:posOffset>-24039</wp:posOffset>
            </wp:positionV>
            <wp:extent cx="1082040" cy="125095"/>
            <wp:effectExtent l="0" t="0" r="3810" b="8255"/>
            <wp:wrapSquare wrapText="bothSides"/>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1082040" cy="125095"/>
                    </a:xfrm>
                    <a:prstGeom prst="rect">
                      <a:avLst/>
                    </a:prstGeom>
                  </pic:spPr>
                </pic:pic>
              </a:graphicData>
            </a:graphic>
          </wp:anchor>
        </w:drawing>
      </w:r>
    </w:p>
    <w:p w14:paraId="74D978CC" w14:textId="77777777" w:rsidR="00645301" w:rsidRDefault="009B7E4B">
      <w:pPr>
        <w:ind w:left="725" w:firstLine="6475"/>
        <w:textAlignment w:val="baseline"/>
        <w:rPr>
          <w:rFonts w:ascii="Tahoma" w:eastAsia="Tahoma" w:hAnsi="Tahoma"/>
          <w:color w:val="000000"/>
          <w:spacing w:val="5"/>
          <w:sz w:val="19"/>
        </w:rPr>
      </w:pPr>
      <w:r>
        <w:rPr>
          <w:rFonts w:ascii="Tahoma" w:eastAsia="Tahoma" w:hAnsi="Tahoma"/>
          <w:color w:val="000000"/>
          <w:spacing w:val="5"/>
          <w:sz w:val="19"/>
        </w:rPr>
        <w:t>Fiche d'information</w:t>
      </w:r>
    </w:p>
    <w:p w14:paraId="55FC334E" w14:textId="77777777" w:rsidR="00645301" w:rsidRDefault="009B7E4B">
      <w:pPr>
        <w:ind w:left="725" w:firstLine="6475"/>
        <w:textAlignment w:val="baseline"/>
        <w:rPr>
          <w:rFonts w:ascii="Tahoma" w:eastAsia="Tahoma" w:hAnsi="Tahoma"/>
          <w:color w:val="000000"/>
          <w:spacing w:val="1"/>
          <w:sz w:val="14"/>
        </w:rPr>
      </w:pPr>
      <w:r>
        <w:rPr>
          <w:rFonts w:ascii="Tahoma" w:eastAsia="Tahoma" w:hAnsi="Tahoma"/>
          <w:color w:val="000000"/>
          <w:spacing w:val="1"/>
          <w:sz w:val="14"/>
        </w:rPr>
        <w:t>12 août 2025</w:t>
      </w:r>
    </w:p>
    <w:p w14:paraId="47491838" w14:textId="2750E061" w:rsidR="00645301" w:rsidRDefault="009B7E4B">
      <w:pPr>
        <w:spacing w:before="830"/>
        <w:ind w:left="725" w:hanging="725"/>
        <w:textAlignment w:val="baseline"/>
        <w:rPr>
          <w:rFonts w:eastAsia="Times New Roman"/>
          <w:color w:val="000000"/>
          <w:spacing w:val="14"/>
          <w:w w:val="80"/>
          <w:sz w:val="29"/>
        </w:rPr>
      </w:pPr>
      <w:r>
        <w:rPr>
          <w:rFonts w:eastAsia="Times New Roman"/>
          <w:color w:val="000000"/>
          <w:spacing w:val="14"/>
          <w:w w:val="80"/>
          <w:sz w:val="29"/>
        </w:rPr>
        <w:t xml:space="preserve">Mercedes-Benz Vision V : le design </w:t>
      </w:r>
      <w:r>
        <w:rPr>
          <w:rFonts w:eastAsia="Times New Roman"/>
          <w:color w:val="000000"/>
          <w:spacing w:val="14"/>
          <w:w w:val="80"/>
          <w:sz w:val="29"/>
        </w:rPr>
        <w:t>extérieur</w:t>
      </w:r>
    </w:p>
    <w:p w14:paraId="5A32F0DD" w14:textId="77777777" w:rsidR="00645301" w:rsidRDefault="009B7E4B">
      <w:pPr>
        <w:spacing w:before="342"/>
        <w:ind w:right="288"/>
        <w:textAlignment w:val="baseline"/>
        <w:rPr>
          <w:rFonts w:ascii="Tahoma" w:eastAsia="Tahoma" w:hAnsi="Tahoma"/>
          <w:color w:val="000000"/>
          <w:spacing w:val="6"/>
          <w:sz w:val="19"/>
        </w:rPr>
      </w:pPr>
      <w:r>
        <w:rPr>
          <w:rFonts w:ascii="Tahoma" w:eastAsia="Tahoma" w:hAnsi="Tahoma"/>
          <w:color w:val="000000"/>
          <w:spacing w:val="6"/>
          <w:sz w:val="19"/>
        </w:rPr>
        <w:t>Le design extérieur de la Vision V marque une nouvelle étape dans le développement du langage stylistique unique de Mercedes-Benz, d'une pureté sensuelle. L'aspect sculptural se caractérise par une esthétique innovante et les normes les plus élevées en matière d'aérodynamisme. Les porte-à-faux et la partie avant sont nettement plus courts. Les côtés ont une taille particulièrement étroite. La ligne de toit tendue se fond dans l'arrière arrondi. Cette silhouette profilée est synonyme de puissance et de légèr</w:t>
      </w:r>
      <w:r>
        <w:rPr>
          <w:rFonts w:ascii="Tahoma" w:eastAsia="Tahoma" w:hAnsi="Tahoma"/>
          <w:color w:val="000000"/>
          <w:spacing w:val="6"/>
          <w:sz w:val="19"/>
        </w:rPr>
        <w:t>eté dynamique. Il symbolise la confiance en soi et évoque le design et l'expérience de conduite exceptionnelle de tous les futurs monospaces de Mercedes-Benz.</w:t>
      </w:r>
    </w:p>
    <w:p w14:paraId="6F4F23ED" w14:textId="79DF4727" w:rsidR="00645301" w:rsidRPr="009B7E4B" w:rsidRDefault="009B7E4B">
      <w:pPr>
        <w:spacing w:before="342"/>
        <w:ind w:left="725" w:hanging="725"/>
        <w:textAlignment w:val="baseline"/>
        <w:rPr>
          <w:rFonts w:ascii="Tahoma" w:eastAsia="Tahoma" w:hAnsi="Tahoma"/>
          <w:b/>
          <w:bCs/>
          <w:color w:val="000000"/>
          <w:spacing w:val="7"/>
          <w:sz w:val="19"/>
        </w:rPr>
      </w:pPr>
      <w:r w:rsidRPr="009B7E4B">
        <w:rPr>
          <w:rFonts w:ascii="Tahoma" w:eastAsia="Tahoma" w:hAnsi="Tahoma"/>
          <w:b/>
          <w:bCs/>
          <w:color w:val="000000"/>
          <w:spacing w:val="7"/>
          <w:sz w:val="19"/>
        </w:rPr>
        <w:t xml:space="preserve">Le design </w:t>
      </w:r>
      <w:r w:rsidRPr="009B7E4B">
        <w:rPr>
          <w:rFonts w:ascii="Tahoma" w:eastAsia="Tahoma" w:hAnsi="Tahoma"/>
          <w:b/>
          <w:bCs/>
          <w:color w:val="000000"/>
          <w:spacing w:val="7"/>
          <w:sz w:val="19"/>
        </w:rPr>
        <w:t>avant : des éléments de design emblématiques sous un nouveau jour</w:t>
      </w:r>
    </w:p>
    <w:p w14:paraId="381ECD3E" w14:textId="77777777" w:rsidR="009B7E4B" w:rsidRDefault="009B7E4B" w:rsidP="009B7E4B">
      <w:pPr>
        <w:tabs>
          <w:tab w:val="left" w:pos="360"/>
          <w:tab w:val="left" w:pos="720"/>
        </w:tabs>
        <w:ind w:left="720" w:right="288"/>
        <w:textAlignment w:val="baseline"/>
        <w:rPr>
          <w:rFonts w:ascii="Tahoma" w:eastAsia="Tahoma" w:hAnsi="Tahoma"/>
          <w:color w:val="000000"/>
          <w:spacing w:val="4"/>
          <w:sz w:val="19"/>
        </w:rPr>
      </w:pPr>
    </w:p>
    <w:p w14:paraId="4A222C8A" w14:textId="64BCC001" w:rsidR="00645301" w:rsidRDefault="009B7E4B">
      <w:pPr>
        <w:numPr>
          <w:ilvl w:val="0"/>
          <w:numId w:val="1"/>
        </w:numPr>
        <w:tabs>
          <w:tab w:val="clear" w:pos="360"/>
          <w:tab w:val="left" w:pos="720"/>
        </w:tabs>
        <w:ind w:left="720" w:right="288" w:hanging="360"/>
        <w:textAlignment w:val="baseline"/>
        <w:rPr>
          <w:rFonts w:ascii="Tahoma" w:eastAsia="Tahoma" w:hAnsi="Tahoma"/>
          <w:color w:val="000000"/>
          <w:spacing w:val="4"/>
          <w:sz w:val="19"/>
        </w:rPr>
      </w:pPr>
      <w:r>
        <w:rPr>
          <w:rFonts w:ascii="Tahoma" w:eastAsia="Tahoma" w:hAnsi="Tahoma"/>
          <w:color w:val="000000"/>
          <w:spacing w:val="4"/>
          <w:sz w:val="19"/>
        </w:rPr>
        <w:t>La face avant est caractérisée par une calandre chromée nouvellement interprétée. Il comporte trois lamelles horizontales en verre éclairé. Près de 200 de ces éléments lumineux d'aspect technique entourent également le cadre chromé. Dans un espace ouvert prononcé de la carrosserie, sous le capot, il y a environ 190 autres persiennes éclairées. Ils encadrent les phares latéraux, qui reprennent la forme emblématique de l'étoile à trois branches de Mercedes.</w:t>
      </w:r>
    </w:p>
    <w:p w14:paraId="1C138446" w14:textId="77777777" w:rsidR="00645301" w:rsidRDefault="009B7E4B">
      <w:pPr>
        <w:numPr>
          <w:ilvl w:val="0"/>
          <w:numId w:val="1"/>
        </w:numPr>
        <w:tabs>
          <w:tab w:val="clear" w:pos="360"/>
          <w:tab w:val="left" w:pos="720"/>
        </w:tabs>
        <w:ind w:left="720" w:right="360" w:hanging="360"/>
        <w:textAlignment w:val="baseline"/>
        <w:rPr>
          <w:rFonts w:ascii="Tahoma" w:eastAsia="Tahoma" w:hAnsi="Tahoma"/>
          <w:color w:val="000000"/>
          <w:sz w:val="19"/>
        </w:rPr>
      </w:pPr>
      <w:r>
        <w:rPr>
          <w:rFonts w:ascii="Tahoma" w:eastAsia="Tahoma" w:hAnsi="Tahoma"/>
          <w:color w:val="000000"/>
          <w:sz w:val="19"/>
        </w:rPr>
        <w:t>Lorsque les passagers s'approchent du Vision V, ils sont accueillis par un spectacle lumineux dynamique et artistique dans toutes les ouvertures. Le tout est couronné par l'étoile Mercedes illuminée sur le capot. Les éléments lumineux situés sous les phares servent également de clignotants.</w:t>
      </w:r>
    </w:p>
    <w:p w14:paraId="33C6389D" w14:textId="77777777" w:rsidR="00645301" w:rsidRDefault="009B7E4B">
      <w:pPr>
        <w:numPr>
          <w:ilvl w:val="0"/>
          <w:numId w:val="1"/>
        </w:numPr>
        <w:tabs>
          <w:tab w:val="clear" w:pos="360"/>
          <w:tab w:val="left" w:pos="720"/>
        </w:tabs>
        <w:ind w:left="720" w:right="792" w:hanging="360"/>
        <w:textAlignment w:val="baseline"/>
        <w:rPr>
          <w:rFonts w:ascii="Tahoma" w:eastAsia="Tahoma" w:hAnsi="Tahoma"/>
          <w:color w:val="000000"/>
          <w:sz w:val="19"/>
        </w:rPr>
      </w:pPr>
      <w:r>
        <w:rPr>
          <w:rFonts w:ascii="Tahoma" w:eastAsia="Tahoma" w:hAnsi="Tahoma"/>
          <w:color w:val="000000"/>
          <w:sz w:val="19"/>
        </w:rPr>
        <w:t>La Vision V souligne ses proportions sportives avec deux dômes de puissance prononcés sur le capot court, qui se prolongent dans l'habitacle.</w:t>
      </w:r>
    </w:p>
    <w:p w14:paraId="5676A7F0" w14:textId="77777777" w:rsidR="00645301" w:rsidRPr="009B7E4B" w:rsidRDefault="009B7E4B">
      <w:pPr>
        <w:spacing w:before="342"/>
        <w:ind w:left="725" w:hanging="725"/>
        <w:textAlignment w:val="baseline"/>
        <w:rPr>
          <w:rFonts w:ascii="Tahoma" w:eastAsia="Tahoma" w:hAnsi="Tahoma"/>
          <w:b/>
          <w:bCs/>
          <w:color w:val="000000"/>
          <w:spacing w:val="7"/>
          <w:sz w:val="19"/>
        </w:rPr>
      </w:pPr>
      <w:r w:rsidRPr="009B7E4B">
        <w:rPr>
          <w:rFonts w:ascii="Tahoma" w:eastAsia="Tahoma" w:hAnsi="Tahoma"/>
          <w:b/>
          <w:bCs/>
          <w:color w:val="000000"/>
          <w:spacing w:val="7"/>
          <w:sz w:val="19"/>
        </w:rPr>
        <w:t>Le design latéral : des surfaces fluides et puissantes avec une ligne de caractère dynamique</w:t>
      </w:r>
    </w:p>
    <w:p w14:paraId="72A97BFA" w14:textId="77777777" w:rsidR="009B7E4B" w:rsidRDefault="009B7E4B" w:rsidP="009B7E4B">
      <w:pPr>
        <w:tabs>
          <w:tab w:val="left" w:pos="360"/>
          <w:tab w:val="left" w:pos="720"/>
        </w:tabs>
        <w:ind w:left="720" w:right="576"/>
        <w:textAlignment w:val="baseline"/>
        <w:rPr>
          <w:rFonts w:ascii="Tahoma" w:eastAsia="Tahoma" w:hAnsi="Tahoma"/>
          <w:color w:val="000000"/>
          <w:spacing w:val="3"/>
          <w:sz w:val="19"/>
        </w:rPr>
      </w:pPr>
    </w:p>
    <w:p w14:paraId="21159847" w14:textId="73D94E9B" w:rsidR="00645301" w:rsidRDefault="009B7E4B">
      <w:pPr>
        <w:numPr>
          <w:ilvl w:val="0"/>
          <w:numId w:val="1"/>
        </w:numPr>
        <w:tabs>
          <w:tab w:val="clear" w:pos="360"/>
          <w:tab w:val="left" w:pos="720"/>
        </w:tabs>
        <w:ind w:left="720" w:right="576" w:hanging="360"/>
        <w:textAlignment w:val="baseline"/>
        <w:rPr>
          <w:rFonts w:ascii="Tahoma" w:eastAsia="Tahoma" w:hAnsi="Tahoma"/>
          <w:color w:val="000000"/>
          <w:spacing w:val="3"/>
          <w:sz w:val="19"/>
        </w:rPr>
      </w:pPr>
      <w:r>
        <w:rPr>
          <w:rFonts w:ascii="Tahoma" w:eastAsia="Tahoma" w:hAnsi="Tahoma"/>
          <w:color w:val="000000"/>
          <w:spacing w:val="3"/>
          <w:sz w:val="19"/>
        </w:rPr>
        <w:t>De grands passages de roue et un bord moulé expressif accentuent les volumes puissants de la paroi latérale.</w:t>
      </w:r>
    </w:p>
    <w:p w14:paraId="547F9975" w14:textId="77777777" w:rsidR="00645301" w:rsidRDefault="009B7E4B">
      <w:pPr>
        <w:numPr>
          <w:ilvl w:val="0"/>
          <w:numId w:val="1"/>
        </w:numPr>
        <w:tabs>
          <w:tab w:val="clear" w:pos="360"/>
          <w:tab w:val="left" w:pos="720"/>
        </w:tabs>
        <w:ind w:left="720" w:right="288" w:hanging="360"/>
        <w:textAlignment w:val="baseline"/>
        <w:rPr>
          <w:rFonts w:ascii="Tahoma" w:eastAsia="Tahoma" w:hAnsi="Tahoma"/>
          <w:color w:val="000000"/>
          <w:sz w:val="19"/>
        </w:rPr>
      </w:pPr>
      <w:r>
        <w:rPr>
          <w:rFonts w:ascii="Tahoma" w:eastAsia="Tahoma" w:hAnsi="Tahoma"/>
          <w:color w:val="000000"/>
          <w:sz w:val="19"/>
        </w:rPr>
        <w:t xml:space="preserve">La précision de cette arête, associée à la peinture </w:t>
      </w:r>
      <w:proofErr w:type="spellStart"/>
      <w:r>
        <w:rPr>
          <w:rFonts w:ascii="Tahoma" w:eastAsia="Tahoma" w:hAnsi="Tahoma"/>
          <w:color w:val="000000"/>
          <w:sz w:val="19"/>
        </w:rPr>
        <w:t>alubeam</w:t>
      </w:r>
      <w:proofErr w:type="spellEnd"/>
      <w:r>
        <w:rPr>
          <w:rFonts w:ascii="Tahoma" w:eastAsia="Tahoma" w:hAnsi="Tahoma"/>
          <w:color w:val="000000"/>
          <w:sz w:val="19"/>
        </w:rPr>
        <w:t xml:space="preserve"> de couleur anthracite, aux reflets métalliques et aux entourages de vitres chromés, souligne l'équilibre parfait entre l'élégance et le dynamisme.</w:t>
      </w:r>
    </w:p>
    <w:p w14:paraId="3E2F0A26" w14:textId="77777777" w:rsidR="00645301" w:rsidRDefault="009B7E4B">
      <w:pPr>
        <w:numPr>
          <w:ilvl w:val="0"/>
          <w:numId w:val="1"/>
        </w:numPr>
        <w:tabs>
          <w:tab w:val="clear" w:pos="360"/>
          <w:tab w:val="left" w:pos="720"/>
        </w:tabs>
        <w:ind w:left="725" w:hanging="365"/>
        <w:textAlignment w:val="baseline"/>
        <w:rPr>
          <w:rFonts w:ascii="Tahoma" w:eastAsia="Tahoma" w:hAnsi="Tahoma"/>
          <w:color w:val="000000"/>
          <w:spacing w:val="6"/>
          <w:sz w:val="19"/>
        </w:rPr>
      </w:pPr>
      <w:r>
        <w:rPr>
          <w:rFonts w:ascii="Tahoma" w:eastAsia="Tahoma" w:hAnsi="Tahoma"/>
          <w:color w:val="000000"/>
          <w:spacing w:val="6"/>
          <w:sz w:val="19"/>
        </w:rPr>
        <w:t>Les jantes de 24 pouces sont également dotées de lamelles éclairées.</w:t>
      </w:r>
    </w:p>
    <w:p w14:paraId="2DA53C2E" w14:textId="77777777" w:rsidR="00645301" w:rsidRDefault="009B7E4B">
      <w:pPr>
        <w:numPr>
          <w:ilvl w:val="0"/>
          <w:numId w:val="1"/>
        </w:numPr>
        <w:tabs>
          <w:tab w:val="clear" w:pos="360"/>
          <w:tab w:val="left" w:pos="720"/>
        </w:tabs>
        <w:ind w:left="720" w:right="864" w:hanging="360"/>
        <w:jc w:val="both"/>
        <w:textAlignment w:val="baseline"/>
        <w:rPr>
          <w:rFonts w:ascii="Tahoma" w:eastAsia="Tahoma" w:hAnsi="Tahoma"/>
          <w:color w:val="000000"/>
          <w:sz w:val="19"/>
        </w:rPr>
      </w:pPr>
      <w:r>
        <w:rPr>
          <w:rFonts w:ascii="Tahoma" w:eastAsia="Tahoma" w:hAnsi="Tahoma"/>
          <w:color w:val="000000"/>
          <w:sz w:val="19"/>
        </w:rPr>
        <w:t>Un écran d'accueil est intégré dans chacun des montants B chromés. Il donne un avant-goût du monde numérique exclusif de l'expérience à l'intérieur.</w:t>
      </w:r>
    </w:p>
    <w:p w14:paraId="37028B86" w14:textId="77777777" w:rsidR="00645301" w:rsidRDefault="009B7E4B">
      <w:pPr>
        <w:numPr>
          <w:ilvl w:val="0"/>
          <w:numId w:val="1"/>
        </w:numPr>
        <w:tabs>
          <w:tab w:val="clear" w:pos="360"/>
          <w:tab w:val="left" w:pos="720"/>
        </w:tabs>
        <w:ind w:left="720" w:right="288" w:hanging="360"/>
        <w:textAlignment w:val="baseline"/>
        <w:rPr>
          <w:rFonts w:ascii="Tahoma" w:eastAsia="Tahoma" w:hAnsi="Tahoma"/>
          <w:color w:val="000000"/>
          <w:sz w:val="19"/>
        </w:rPr>
      </w:pPr>
      <w:r>
        <w:rPr>
          <w:rFonts w:ascii="Tahoma" w:eastAsia="Tahoma" w:hAnsi="Tahoma"/>
          <w:color w:val="000000"/>
          <w:sz w:val="19"/>
        </w:rPr>
        <w:t>La grande porte "portail" à ouverture automatique du côté droit et le marchepied éclairé et rétractable garantissent un confort et un accès facile au luxueux salon arrière. Les deux portes d'entrée s'ouvrent également automatiquement.</w:t>
      </w:r>
    </w:p>
    <w:p w14:paraId="660A44A2" w14:textId="77777777" w:rsidR="009B7E4B" w:rsidRDefault="009B7E4B" w:rsidP="009B7E4B">
      <w:pPr>
        <w:tabs>
          <w:tab w:val="left" w:pos="360"/>
          <w:tab w:val="left" w:pos="720"/>
        </w:tabs>
        <w:ind w:left="720" w:right="288"/>
        <w:textAlignment w:val="baseline"/>
        <w:rPr>
          <w:rFonts w:ascii="Tahoma" w:eastAsia="Tahoma" w:hAnsi="Tahoma"/>
          <w:color w:val="000000"/>
          <w:sz w:val="19"/>
        </w:rPr>
      </w:pPr>
    </w:p>
    <w:p w14:paraId="5E7484B6" w14:textId="3CF6F7CC" w:rsidR="00645301" w:rsidRPr="009B7E4B" w:rsidRDefault="009B7E4B">
      <w:pPr>
        <w:ind w:left="72"/>
        <w:textAlignment w:val="baseline"/>
        <w:rPr>
          <w:rFonts w:ascii="Tahoma" w:eastAsia="Tahoma" w:hAnsi="Tahoma"/>
          <w:b/>
          <w:bCs/>
          <w:color w:val="000000"/>
          <w:spacing w:val="7"/>
          <w:sz w:val="19"/>
        </w:rPr>
      </w:pPr>
      <w:r w:rsidRPr="009B7E4B">
        <w:rPr>
          <w:rFonts w:ascii="Tahoma" w:eastAsia="Tahoma" w:hAnsi="Tahoma"/>
          <w:b/>
          <w:bCs/>
          <w:color w:val="000000"/>
          <w:spacing w:val="7"/>
          <w:sz w:val="19"/>
        </w:rPr>
        <w:t>Le design</w:t>
      </w:r>
      <w:r>
        <w:rPr>
          <w:rFonts w:ascii="Tahoma" w:eastAsia="Tahoma" w:hAnsi="Tahoma"/>
          <w:b/>
          <w:bCs/>
          <w:color w:val="000000"/>
          <w:spacing w:val="7"/>
          <w:sz w:val="19"/>
        </w:rPr>
        <w:t xml:space="preserve"> </w:t>
      </w:r>
      <w:r w:rsidRPr="009B7E4B">
        <w:rPr>
          <w:rFonts w:ascii="Tahoma" w:eastAsia="Tahoma" w:hAnsi="Tahoma"/>
          <w:b/>
          <w:bCs/>
          <w:color w:val="000000"/>
          <w:spacing w:val="7"/>
          <w:sz w:val="19"/>
        </w:rPr>
        <w:t>arrière : un arrière puissant avec des feux LED tridimensionnels saisissants</w:t>
      </w:r>
    </w:p>
    <w:p w14:paraId="37141049" w14:textId="77777777" w:rsidR="00645301" w:rsidRDefault="009B7E4B">
      <w:pPr>
        <w:numPr>
          <w:ilvl w:val="0"/>
          <w:numId w:val="2"/>
        </w:numPr>
        <w:tabs>
          <w:tab w:val="clear" w:pos="432"/>
          <w:tab w:val="left" w:pos="864"/>
        </w:tabs>
        <w:ind w:left="864" w:right="360" w:hanging="432"/>
        <w:textAlignment w:val="baseline"/>
        <w:rPr>
          <w:rFonts w:ascii="Tahoma" w:eastAsia="Tahoma" w:hAnsi="Tahoma"/>
          <w:color w:val="000000"/>
          <w:sz w:val="19"/>
        </w:rPr>
      </w:pPr>
      <w:r>
        <w:rPr>
          <w:rFonts w:ascii="Tahoma" w:eastAsia="Tahoma" w:hAnsi="Tahoma"/>
          <w:color w:val="000000"/>
          <w:sz w:val="19"/>
        </w:rPr>
        <w:t>Le jeu de lumière et de mouvement se poursuit à l</w:t>
      </w:r>
      <w:r>
        <w:rPr>
          <w:rFonts w:ascii="Tahoma" w:eastAsia="Tahoma" w:hAnsi="Tahoma"/>
          <w:color w:val="000000"/>
          <w:sz w:val="19"/>
        </w:rPr>
        <w:t>'arrière. La grande lunette arrière est encadrée par plus de 450 lamelles lumineuses tridimensionnelles qui servent de feux arrière et de feux de freinage.</w:t>
      </w:r>
    </w:p>
    <w:p w14:paraId="17C19604" w14:textId="77777777" w:rsidR="00645301" w:rsidRPr="009B7E4B" w:rsidRDefault="009B7E4B">
      <w:pPr>
        <w:spacing w:before="342"/>
        <w:ind w:left="72"/>
        <w:textAlignment w:val="baseline"/>
        <w:rPr>
          <w:rFonts w:ascii="Tahoma" w:eastAsia="Tahoma" w:hAnsi="Tahoma"/>
          <w:b/>
          <w:bCs/>
          <w:color w:val="000000"/>
          <w:spacing w:val="8"/>
          <w:sz w:val="19"/>
        </w:rPr>
      </w:pPr>
      <w:r w:rsidRPr="009B7E4B">
        <w:rPr>
          <w:rFonts w:ascii="Tahoma" w:eastAsia="Tahoma" w:hAnsi="Tahoma"/>
          <w:b/>
          <w:bCs/>
          <w:color w:val="000000"/>
          <w:spacing w:val="8"/>
          <w:sz w:val="19"/>
        </w:rPr>
        <w:t>Les dimensions du véhicule : silhouette basse avec empattement long</w:t>
      </w:r>
    </w:p>
    <w:p w14:paraId="1815129E" w14:textId="77777777" w:rsidR="009B7E4B" w:rsidRDefault="009B7E4B" w:rsidP="009B7E4B">
      <w:pPr>
        <w:tabs>
          <w:tab w:val="left" w:pos="432"/>
          <w:tab w:val="left" w:pos="864"/>
        </w:tabs>
        <w:ind w:left="864"/>
        <w:textAlignment w:val="baseline"/>
        <w:rPr>
          <w:rFonts w:ascii="Tahoma" w:eastAsia="Tahoma" w:hAnsi="Tahoma"/>
          <w:color w:val="000000"/>
          <w:spacing w:val="2"/>
          <w:sz w:val="19"/>
        </w:rPr>
      </w:pPr>
    </w:p>
    <w:p w14:paraId="78A4D497" w14:textId="2AFBC72F" w:rsidR="00645301" w:rsidRDefault="009B7E4B">
      <w:pPr>
        <w:numPr>
          <w:ilvl w:val="0"/>
          <w:numId w:val="2"/>
        </w:numPr>
        <w:tabs>
          <w:tab w:val="clear" w:pos="432"/>
          <w:tab w:val="left" w:pos="864"/>
        </w:tabs>
        <w:ind w:left="864" w:hanging="432"/>
        <w:textAlignment w:val="baseline"/>
        <w:rPr>
          <w:rFonts w:ascii="Tahoma" w:eastAsia="Tahoma" w:hAnsi="Tahoma"/>
          <w:color w:val="000000"/>
          <w:spacing w:val="2"/>
          <w:sz w:val="19"/>
        </w:rPr>
      </w:pPr>
      <w:r>
        <w:rPr>
          <w:rFonts w:ascii="Tahoma" w:eastAsia="Tahoma" w:hAnsi="Tahoma"/>
          <w:color w:val="000000"/>
          <w:spacing w:val="2"/>
          <w:sz w:val="19"/>
        </w:rPr>
        <w:t>Longueur : 5 486 mm ; largeur : 2 100 mm ; hauteur : 1 892 mm</w:t>
      </w:r>
    </w:p>
    <w:p w14:paraId="2D44C6CA" w14:textId="77777777" w:rsidR="009B7E4B" w:rsidRPr="009B7E4B" w:rsidRDefault="009B7E4B" w:rsidP="009B7E4B">
      <w:pPr>
        <w:numPr>
          <w:ilvl w:val="0"/>
          <w:numId w:val="2"/>
        </w:numPr>
        <w:tabs>
          <w:tab w:val="clear" w:pos="432"/>
          <w:tab w:val="left" w:pos="864"/>
        </w:tabs>
        <w:spacing w:before="116"/>
        <w:ind w:left="864" w:hanging="432"/>
        <w:textAlignment w:val="baseline"/>
        <w:rPr>
          <w:rFonts w:ascii="Tahoma" w:eastAsia="Tahoma" w:hAnsi="Tahoma"/>
          <w:color w:val="000000"/>
          <w:spacing w:val="3"/>
          <w:sz w:val="19"/>
        </w:rPr>
      </w:pPr>
      <w:r w:rsidRPr="009B7E4B">
        <w:rPr>
          <w:rFonts w:ascii="Tahoma" w:eastAsia="Tahoma" w:hAnsi="Tahoma"/>
          <w:color w:val="000000"/>
          <w:spacing w:val="2"/>
          <w:sz w:val="19"/>
        </w:rPr>
        <w:t>Empattement : 3 530 mm</w:t>
      </w:r>
    </w:p>
    <w:p w14:paraId="5816F3B6" w14:textId="1D38F612" w:rsidR="00645301" w:rsidRDefault="009B7E4B" w:rsidP="009B7E4B">
      <w:pPr>
        <w:numPr>
          <w:ilvl w:val="0"/>
          <w:numId w:val="2"/>
        </w:numPr>
        <w:tabs>
          <w:tab w:val="clear" w:pos="432"/>
          <w:tab w:val="left" w:pos="864"/>
        </w:tabs>
        <w:spacing w:before="116"/>
        <w:ind w:left="864" w:hanging="432"/>
        <w:textAlignment w:val="baseline"/>
        <w:rPr>
          <w:rFonts w:ascii="Tahoma" w:eastAsia="Tahoma" w:hAnsi="Tahoma"/>
          <w:color w:val="000000"/>
          <w:spacing w:val="3"/>
          <w:sz w:val="19"/>
        </w:rPr>
      </w:pPr>
      <w:r w:rsidRPr="009B7E4B">
        <w:rPr>
          <w:rFonts w:ascii="Tahoma" w:eastAsia="Tahoma" w:hAnsi="Tahoma"/>
          <w:color w:val="000000"/>
          <w:spacing w:val="3"/>
          <w:sz w:val="19"/>
        </w:rPr>
        <w:t>Largeur de la voie : 1 820 mm à l'avant ; 1 860 mm à l'arrière</w:t>
      </w:r>
    </w:p>
    <w:p w14:paraId="46E1325A" w14:textId="77777777" w:rsidR="009B7E4B" w:rsidRDefault="009B7E4B" w:rsidP="009B7E4B">
      <w:pPr>
        <w:tabs>
          <w:tab w:val="left" w:pos="432"/>
          <w:tab w:val="left" w:pos="864"/>
        </w:tabs>
        <w:ind w:left="864"/>
        <w:textAlignment w:val="baseline"/>
        <w:rPr>
          <w:rFonts w:ascii="Tahoma" w:eastAsia="Tahoma" w:hAnsi="Tahoma"/>
          <w:color w:val="000000"/>
          <w:spacing w:val="1"/>
          <w:sz w:val="19"/>
        </w:rPr>
      </w:pPr>
    </w:p>
    <w:p w14:paraId="03906C48" w14:textId="018A5215" w:rsidR="00645301" w:rsidRDefault="009B7E4B">
      <w:pPr>
        <w:numPr>
          <w:ilvl w:val="0"/>
          <w:numId w:val="2"/>
        </w:numPr>
        <w:tabs>
          <w:tab w:val="clear" w:pos="432"/>
          <w:tab w:val="left" w:pos="864"/>
        </w:tabs>
        <w:ind w:left="864" w:hanging="432"/>
        <w:textAlignment w:val="baseline"/>
        <w:rPr>
          <w:rFonts w:ascii="Tahoma" w:eastAsia="Tahoma" w:hAnsi="Tahoma"/>
          <w:color w:val="000000"/>
          <w:spacing w:val="1"/>
          <w:sz w:val="19"/>
        </w:rPr>
      </w:pPr>
      <w:r>
        <w:rPr>
          <w:rFonts w:ascii="Tahoma" w:eastAsia="Tahoma" w:hAnsi="Tahoma"/>
          <w:color w:val="000000"/>
          <w:spacing w:val="1"/>
          <w:sz w:val="19"/>
        </w:rPr>
        <w:t>Rayon de braquage</w:t>
      </w:r>
      <w:r>
        <w:rPr>
          <w:rFonts w:ascii="Tahoma" w:eastAsia="Tahoma" w:hAnsi="Tahoma"/>
          <w:color w:val="000000"/>
          <w:spacing w:val="1"/>
          <w:sz w:val="19"/>
        </w:rPr>
        <w:t xml:space="preserve"> : 14.5 m</w:t>
      </w:r>
    </w:p>
    <w:p w14:paraId="5696AD7E" w14:textId="77777777" w:rsidR="00645301" w:rsidRPr="009B7E4B" w:rsidRDefault="009B7E4B">
      <w:pPr>
        <w:spacing w:before="342"/>
        <w:ind w:left="72"/>
        <w:textAlignment w:val="baseline"/>
        <w:rPr>
          <w:rFonts w:ascii="Tahoma" w:eastAsia="Tahoma" w:hAnsi="Tahoma"/>
          <w:b/>
          <w:bCs/>
          <w:color w:val="000000"/>
          <w:spacing w:val="7"/>
          <w:sz w:val="19"/>
        </w:rPr>
      </w:pPr>
      <w:r w:rsidRPr="009B7E4B">
        <w:rPr>
          <w:rFonts w:ascii="Tahoma" w:eastAsia="Tahoma" w:hAnsi="Tahoma"/>
          <w:b/>
          <w:bCs/>
          <w:color w:val="000000"/>
          <w:spacing w:val="7"/>
          <w:sz w:val="19"/>
        </w:rPr>
        <w:t>Le toit solaire : plus d'autonomie grâce à l'autoproduction d'électricité</w:t>
      </w:r>
    </w:p>
    <w:p w14:paraId="4CBFADE3" w14:textId="77777777" w:rsidR="009B7E4B" w:rsidRDefault="009B7E4B" w:rsidP="009B7E4B">
      <w:pPr>
        <w:tabs>
          <w:tab w:val="left" w:pos="432"/>
          <w:tab w:val="left" w:pos="864"/>
        </w:tabs>
        <w:ind w:left="864" w:right="360"/>
        <w:textAlignment w:val="baseline"/>
        <w:rPr>
          <w:rFonts w:ascii="Tahoma" w:eastAsia="Tahoma" w:hAnsi="Tahoma"/>
          <w:color w:val="000000"/>
          <w:sz w:val="19"/>
        </w:rPr>
      </w:pPr>
    </w:p>
    <w:p w14:paraId="6D8AA279" w14:textId="327BA6ED" w:rsidR="00645301" w:rsidRDefault="009B7E4B">
      <w:pPr>
        <w:numPr>
          <w:ilvl w:val="0"/>
          <w:numId w:val="2"/>
        </w:numPr>
        <w:tabs>
          <w:tab w:val="clear" w:pos="432"/>
          <w:tab w:val="left" w:pos="864"/>
        </w:tabs>
        <w:ind w:left="864" w:right="360" w:hanging="432"/>
        <w:textAlignment w:val="baseline"/>
        <w:rPr>
          <w:rFonts w:ascii="Tahoma" w:eastAsia="Tahoma" w:hAnsi="Tahoma"/>
          <w:color w:val="000000"/>
          <w:sz w:val="19"/>
        </w:rPr>
      </w:pPr>
      <w:r>
        <w:rPr>
          <w:rFonts w:ascii="Tahoma" w:eastAsia="Tahoma" w:hAnsi="Tahoma"/>
          <w:color w:val="000000"/>
          <w:sz w:val="19"/>
        </w:rPr>
        <w:t>Au total, 168 cellules complètes IBC (contact arrière interdigité) sont installées sur le toit, qui est entièrement équipé de modules solaires.</w:t>
      </w:r>
    </w:p>
    <w:p w14:paraId="7A87E4C7" w14:textId="77777777" w:rsidR="00645301" w:rsidRDefault="009B7E4B">
      <w:pPr>
        <w:numPr>
          <w:ilvl w:val="0"/>
          <w:numId w:val="2"/>
        </w:numPr>
        <w:tabs>
          <w:tab w:val="clear" w:pos="432"/>
          <w:tab w:val="left" w:pos="864"/>
        </w:tabs>
        <w:ind w:left="864" w:right="216" w:hanging="432"/>
        <w:textAlignment w:val="baseline"/>
        <w:rPr>
          <w:rFonts w:ascii="Tahoma" w:eastAsia="Tahoma" w:hAnsi="Tahoma"/>
          <w:color w:val="000000"/>
          <w:spacing w:val="4"/>
          <w:sz w:val="19"/>
        </w:rPr>
      </w:pPr>
      <w:r>
        <w:rPr>
          <w:rFonts w:ascii="Tahoma" w:eastAsia="Tahoma" w:hAnsi="Tahoma"/>
          <w:color w:val="000000"/>
          <w:spacing w:val="4"/>
          <w:sz w:val="19"/>
        </w:rPr>
        <w:t>Les cellules ont un rendement de 24,3 % et sont donc très efficaces. La puissance du module est de 539 watts*. L'énergie solaire produite est utilisée pour la conduite ou alimente directement la batterie haute tension.</w:t>
      </w:r>
    </w:p>
    <w:p w14:paraId="4A60AAFE" w14:textId="77777777" w:rsidR="00645301" w:rsidRDefault="009B7E4B">
      <w:pPr>
        <w:numPr>
          <w:ilvl w:val="0"/>
          <w:numId w:val="2"/>
        </w:numPr>
        <w:tabs>
          <w:tab w:val="clear" w:pos="432"/>
          <w:tab w:val="left" w:pos="864"/>
        </w:tabs>
        <w:ind w:left="864" w:hanging="432"/>
        <w:textAlignment w:val="baseline"/>
        <w:rPr>
          <w:rFonts w:ascii="Tahoma" w:eastAsia="Tahoma" w:hAnsi="Tahoma"/>
          <w:color w:val="000000"/>
          <w:spacing w:val="3"/>
          <w:sz w:val="19"/>
        </w:rPr>
      </w:pPr>
      <w:r w:rsidRPr="009B7E4B">
        <w:rPr>
          <w:rFonts w:ascii="Tahoma" w:eastAsia="Tahoma" w:hAnsi="Tahoma"/>
          <w:b/>
          <w:bCs/>
          <w:color w:val="000000"/>
          <w:spacing w:val="3"/>
          <w:sz w:val="19"/>
        </w:rPr>
        <w:t>En moyenne annuelle, le toit solaire peut produire environ 2,08 kWh** d'énergie par jour</w:t>
      </w:r>
      <w:r>
        <w:rPr>
          <w:rFonts w:ascii="Tahoma" w:eastAsia="Tahoma" w:hAnsi="Tahoma"/>
          <w:color w:val="000000"/>
          <w:spacing w:val="3"/>
          <w:sz w:val="19"/>
        </w:rPr>
        <w:t>.</w:t>
      </w:r>
    </w:p>
    <w:p w14:paraId="798CA01F" w14:textId="77777777" w:rsidR="00645301" w:rsidRPr="009B7E4B" w:rsidRDefault="009B7E4B">
      <w:pPr>
        <w:numPr>
          <w:ilvl w:val="0"/>
          <w:numId w:val="2"/>
        </w:numPr>
        <w:tabs>
          <w:tab w:val="clear" w:pos="432"/>
          <w:tab w:val="left" w:pos="864"/>
        </w:tabs>
        <w:ind w:left="864" w:right="216" w:hanging="432"/>
        <w:textAlignment w:val="baseline"/>
        <w:rPr>
          <w:rFonts w:ascii="Tahoma" w:eastAsia="Tahoma" w:hAnsi="Tahoma"/>
          <w:b/>
          <w:bCs/>
          <w:color w:val="000000"/>
          <w:sz w:val="19"/>
        </w:rPr>
      </w:pPr>
      <w:r>
        <w:rPr>
          <w:rFonts w:ascii="Tahoma" w:eastAsia="Tahoma" w:hAnsi="Tahoma"/>
          <w:color w:val="000000"/>
          <w:sz w:val="19"/>
        </w:rPr>
        <w:t xml:space="preserve">Le rendement dépend de l'ombre, de l'intensité du soleil et de la situation géographique. Lorsque Madrid est ensoleillée, le toit solaire peut produire une moyenne d'environ 3,44 kWh.** d'électricité par jour en été. </w:t>
      </w:r>
      <w:r w:rsidRPr="009B7E4B">
        <w:rPr>
          <w:rFonts w:ascii="Tahoma" w:eastAsia="Tahoma" w:hAnsi="Tahoma"/>
          <w:b/>
          <w:bCs/>
          <w:color w:val="000000"/>
          <w:sz w:val="19"/>
        </w:rPr>
        <w:t>Avec une consommation estimée à 15,5 kWh/100 km, l'autonomie quotidienne moyenne est d'environ 22 km. Cela signifie qu'une partie du trajet quotidien pourrait être couverte par l'énergie solaire.</w:t>
      </w:r>
    </w:p>
    <w:p w14:paraId="669A34BC" w14:textId="77777777" w:rsidR="00645301" w:rsidRDefault="00645301">
      <w:pPr>
        <w:spacing w:after="2940"/>
      </w:pPr>
    </w:p>
    <w:p w14:paraId="1C221FBA" w14:textId="77777777" w:rsidR="009B7E4B" w:rsidRDefault="009B7E4B">
      <w:pPr>
        <w:spacing w:after="2940"/>
      </w:pPr>
    </w:p>
    <w:p w14:paraId="67A757E4" w14:textId="77777777" w:rsidR="009B7E4B" w:rsidRDefault="009B7E4B">
      <w:pPr>
        <w:spacing w:after="2940"/>
      </w:pPr>
    </w:p>
    <w:p w14:paraId="25EA5B78" w14:textId="77777777" w:rsidR="009B7E4B" w:rsidRDefault="009B7E4B">
      <w:pPr>
        <w:spacing w:after="2940"/>
        <w:sectPr w:rsidR="009B7E4B">
          <w:pgSz w:w="11909" w:h="16838"/>
          <w:pgMar w:top="1440" w:right="950" w:bottom="179" w:left="902" w:header="720" w:footer="720" w:gutter="0"/>
          <w:cols w:space="720"/>
        </w:sectPr>
      </w:pPr>
    </w:p>
    <w:p w14:paraId="4F9BD053" w14:textId="77777777" w:rsidR="009B7E4B" w:rsidRDefault="009B7E4B">
      <w:pPr>
        <w:textAlignment w:val="baseline"/>
        <w:rPr>
          <w:rFonts w:ascii="Tahoma" w:eastAsia="Tahoma" w:hAnsi="Tahoma"/>
          <w:color w:val="000000"/>
          <w:spacing w:val="8"/>
          <w:sz w:val="14"/>
        </w:rPr>
      </w:pPr>
    </w:p>
    <w:p w14:paraId="6C5E4B1E" w14:textId="77777777" w:rsidR="009B7E4B" w:rsidRDefault="009B7E4B">
      <w:pPr>
        <w:textAlignment w:val="baseline"/>
        <w:rPr>
          <w:rFonts w:ascii="Tahoma" w:eastAsia="Tahoma" w:hAnsi="Tahoma"/>
          <w:color w:val="000000"/>
          <w:spacing w:val="8"/>
          <w:sz w:val="14"/>
        </w:rPr>
      </w:pPr>
    </w:p>
    <w:p w14:paraId="30380E01" w14:textId="77777777" w:rsidR="009B7E4B" w:rsidRDefault="009B7E4B">
      <w:pPr>
        <w:textAlignment w:val="baseline"/>
        <w:rPr>
          <w:rFonts w:ascii="Tahoma" w:eastAsia="Tahoma" w:hAnsi="Tahoma"/>
          <w:color w:val="000000"/>
          <w:spacing w:val="8"/>
          <w:sz w:val="14"/>
        </w:rPr>
      </w:pPr>
    </w:p>
    <w:p w14:paraId="0DEFD183" w14:textId="77777777" w:rsidR="009B7E4B" w:rsidRDefault="009B7E4B">
      <w:pPr>
        <w:textAlignment w:val="baseline"/>
        <w:rPr>
          <w:rFonts w:ascii="Tahoma" w:eastAsia="Tahoma" w:hAnsi="Tahoma"/>
          <w:color w:val="000000"/>
          <w:spacing w:val="8"/>
          <w:sz w:val="14"/>
        </w:rPr>
      </w:pPr>
    </w:p>
    <w:p w14:paraId="32B638D0" w14:textId="77777777" w:rsidR="009B7E4B" w:rsidRDefault="009B7E4B">
      <w:pPr>
        <w:textAlignment w:val="baseline"/>
        <w:rPr>
          <w:rFonts w:ascii="Tahoma" w:eastAsia="Tahoma" w:hAnsi="Tahoma"/>
          <w:color w:val="000000"/>
          <w:spacing w:val="8"/>
          <w:sz w:val="14"/>
        </w:rPr>
      </w:pPr>
    </w:p>
    <w:p w14:paraId="1EB2FE99" w14:textId="77777777" w:rsidR="009B7E4B" w:rsidRDefault="009B7E4B">
      <w:pPr>
        <w:textAlignment w:val="baseline"/>
        <w:rPr>
          <w:rFonts w:ascii="Tahoma" w:eastAsia="Tahoma" w:hAnsi="Tahoma"/>
          <w:color w:val="000000"/>
          <w:spacing w:val="8"/>
          <w:sz w:val="14"/>
        </w:rPr>
      </w:pPr>
    </w:p>
    <w:p w14:paraId="066B544B" w14:textId="77777777" w:rsidR="009B7E4B" w:rsidRDefault="009B7E4B">
      <w:pPr>
        <w:textAlignment w:val="baseline"/>
        <w:rPr>
          <w:rFonts w:ascii="Tahoma" w:eastAsia="Tahoma" w:hAnsi="Tahoma"/>
          <w:color w:val="000000"/>
          <w:spacing w:val="8"/>
          <w:sz w:val="14"/>
        </w:rPr>
      </w:pPr>
    </w:p>
    <w:p w14:paraId="7333F558" w14:textId="77777777" w:rsidR="009B7E4B" w:rsidRDefault="009B7E4B">
      <w:pPr>
        <w:textAlignment w:val="baseline"/>
        <w:rPr>
          <w:rFonts w:ascii="Tahoma" w:eastAsia="Tahoma" w:hAnsi="Tahoma"/>
          <w:color w:val="000000"/>
          <w:spacing w:val="8"/>
          <w:sz w:val="14"/>
        </w:rPr>
      </w:pPr>
    </w:p>
    <w:p w14:paraId="6DB46126" w14:textId="77777777" w:rsidR="009B7E4B" w:rsidRDefault="009B7E4B">
      <w:pPr>
        <w:textAlignment w:val="baseline"/>
        <w:rPr>
          <w:rFonts w:ascii="Tahoma" w:eastAsia="Tahoma" w:hAnsi="Tahoma"/>
          <w:color w:val="000000"/>
          <w:spacing w:val="8"/>
          <w:sz w:val="14"/>
        </w:rPr>
      </w:pPr>
    </w:p>
    <w:p w14:paraId="611438FE" w14:textId="77777777" w:rsidR="009B7E4B" w:rsidRDefault="009B7E4B">
      <w:pPr>
        <w:textAlignment w:val="baseline"/>
        <w:rPr>
          <w:rFonts w:ascii="Tahoma" w:eastAsia="Tahoma" w:hAnsi="Tahoma"/>
          <w:color w:val="000000"/>
          <w:spacing w:val="8"/>
          <w:sz w:val="14"/>
        </w:rPr>
      </w:pPr>
    </w:p>
    <w:p w14:paraId="7A2DBC93" w14:textId="77777777" w:rsidR="009B7E4B" w:rsidRDefault="009B7E4B">
      <w:pPr>
        <w:textAlignment w:val="baseline"/>
        <w:rPr>
          <w:rFonts w:ascii="Tahoma" w:eastAsia="Tahoma" w:hAnsi="Tahoma"/>
          <w:color w:val="000000"/>
          <w:spacing w:val="8"/>
          <w:sz w:val="14"/>
        </w:rPr>
      </w:pPr>
    </w:p>
    <w:p w14:paraId="1D99AA22" w14:textId="77777777" w:rsidR="009B7E4B" w:rsidRDefault="009B7E4B">
      <w:pPr>
        <w:textAlignment w:val="baseline"/>
        <w:rPr>
          <w:rFonts w:ascii="Tahoma" w:eastAsia="Tahoma" w:hAnsi="Tahoma"/>
          <w:color w:val="000000"/>
          <w:spacing w:val="8"/>
          <w:sz w:val="14"/>
        </w:rPr>
      </w:pPr>
    </w:p>
    <w:p w14:paraId="1C2CE156" w14:textId="77777777" w:rsidR="009B7E4B" w:rsidRDefault="009B7E4B">
      <w:pPr>
        <w:textAlignment w:val="baseline"/>
        <w:rPr>
          <w:rFonts w:ascii="Tahoma" w:eastAsia="Tahoma" w:hAnsi="Tahoma"/>
          <w:color w:val="000000"/>
          <w:spacing w:val="8"/>
          <w:sz w:val="14"/>
        </w:rPr>
      </w:pPr>
    </w:p>
    <w:p w14:paraId="6070673F" w14:textId="77777777" w:rsidR="009B7E4B" w:rsidRDefault="009B7E4B">
      <w:pPr>
        <w:textAlignment w:val="baseline"/>
        <w:rPr>
          <w:rFonts w:ascii="Tahoma" w:eastAsia="Tahoma" w:hAnsi="Tahoma"/>
          <w:color w:val="000000"/>
          <w:spacing w:val="8"/>
          <w:sz w:val="14"/>
        </w:rPr>
      </w:pPr>
    </w:p>
    <w:p w14:paraId="51160059" w14:textId="77777777" w:rsidR="009B7E4B" w:rsidRDefault="009B7E4B">
      <w:pPr>
        <w:textAlignment w:val="baseline"/>
        <w:rPr>
          <w:rFonts w:ascii="Tahoma" w:eastAsia="Tahoma" w:hAnsi="Tahoma"/>
          <w:color w:val="000000"/>
          <w:spacing w:val="8"/>
          <w:sz w:val="14"/>
        </w:rPr>
      </w:pPr>
    </w:p>
    <w:p w14:paraId="2AC3E45C" w14:textId="5335C6BC" w:rsidR="00645301" w:rsidRDefault="009B7E4B">
      <w:pPr>
        <w:textAlignment w:val="baseline"/>
        <w:rPr>
          <w:rFonts w:ascii="Tahoma" w:eastAsia="Tahoma" w:hAnsi="Tahoma"/>
          <w:color w:val="000000"/>
          <w:spacing w:val="8"/>
          <w:sz w:val="14"/>
        </w:rPr>
      </w:pPr>
      <w:r>
        <w:rPr>
          <w:rFonts w:ascii="Tahoma" w:eastAsia="Tahoma" w:hAnsi="Tahoma"/>
          <w:color w:val="000000"/>
          <w:spacing w:val="8"/>
          <w:sz w:val="14"/>
        </w:rPr>
        <w:t>Page 2</w:t>
      </w:r>
    </w:p>
    <w:sectPr w:rsidR="00645301">
      <w:type w:val="continuous"/>
      <w:pgSz w:w="11909" w:h="16838"/>
      <w:pgMar w:top="1440" w:right="915" w:bottom="179" w:left="103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ahoma">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677C"/>
    <w:multiLevelType w:val="multilevel"/>
    <w:tmpl w:val="ACA01AF0"/>
    <w:lvl w:ilvl="0">
      <w:numFmt w:val="bullet"/>
      <w:lvlText w:val="·"/>
      <w:lvlJc w:val="left"/>
      <w:pPr>
        <w:tabs>
          <w:tab w:val="left" w:pos="432"/>
        </w:tabs>
      </w:pPr>
      <w:rPr>
        <w:rFonts w:ascii="Symbol" w:eastAsia="Symbol" w:hAnsi="Symbol"/>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D268E6"/>
    <w:multiLevelType w:val="multilevel"/>
    <w:tmpl w:val="FACC1F68"/>
    <w:lvl w:ilvl="0">
      <w:numFmt w:val="bullet"/>
      <w:lvlText w:val="·"/>
      <w:lvlJc w:val="left"/>
      <w:pPr>
        <w:tabs>
          <w:tab w:val="left" w:pos="360"/>
        </w:tabs>
      </w:pPr>
      <w:rPr>
        <w:rFonts w:ascii="Symbol" w:eastAsia="Symbol" w:hAnsi="Symbol"/>
        <w:color w:val="000000"/>
        <w:spacing w:val="4"/>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205447">
    <w:abstractNumId w:val="1"/>
  </w:num>
  <w:num w:numId="2" w16cid:durableId="389231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45301"/>
    <w:rsid w:val="00645301"/>
    <w:rsid w:val="009B7E4B"/>
    <w:rsid w:val="00F778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889A"/>
  <w15:docId w15:val="{73DFE6FF-83EF-42A7-878E-88B8D64A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3463</Characters>
  <Application>Microsoft Office Word</Application>
  <DocSecurity>0</DocSecurity>
  <Lines>28</Lines>
  <Paragraphs>8</Paragraphs>
  <ScaleCrop>false</ScaleCrop>
  <Company>Daimler AG</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p:lastModifiedBy>
  <cp:revision>2</cp:revision>
  <dcterms:created xsi:type="dcterms:W3CDTF">2025-08-19T12:18:00Z</dcterms:created>
  <dcterms:modified xsi:type="dcterms:W3CDTF">2025-08-19T12:22:00Z</dcterms:modified>
</cp:coreProperties>
</file>